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4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第八届中国国际“互联网+”大学生</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创新创业大赛</w:t>
      </w:r>
      <w:bookmarkStart w:id="0" w:name="_GoBack"/>
      <w:r>
        <w:rPr>
          <w:rFonts w:hint="eastAsia" w:ascii="方正小标宋简体" w:hAnsi="Calibri" w:eastAsia="方正小标宋简体"/>
          <w:sz w:val="44"/>
          <w:szCs w:val="44"/>
        </w:rPr>
        <w:t>高教主赛道方案</w:t>
      </w:r>
      <w:bookmarkEnd w:id="0"/>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第八届中国国际“互联网+”大学生创新创业大赛设高教主赛道（含国际参赛项目），具体实施方案如下。</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一、参赛项目类型</w:t>
      </w:r>
      <w:r>
        <w:rPr>
          <w:rFonts w:hint="eastAsia" w:ascii="仿宋_GB2312" w:eastAsia="仿宋_GB2312"/>
          <w:sz w:val="32"/>
          <w:szCs w:val="32"/>
        </w:rPr>
        <w:t xml:space="preserve">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（一）新工科类项目：大数据、云计算、人工智能、区块链、虚拟现实、智能制造、网络空间安全、机器人工程、工业自动化、新材料等领域，符合新工科建设理念和要求的项目；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（二）新医科类项目：现代医疗技术、智能医疗设备、新药研发、健康康养、食药保健、智能医学、生物技术、生物材料等领域，符合新医科建设理念和要求的项目；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（三）新农科类项目：现代种业、智慧农业、智能农机装备、农业大数据、食品营养、休闲农业、森林康养、生态修复、农业碳汇等领域，符合新农科建设理念和要求的项目；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新文科类项目：文化教育、数字经济、金融科技、财经、法务、融媒体、翻译、旅游休闲、动漫、文创设计与开发、电子商务、物流、体育、非物质文化遗产保护、社会工作、家政服务、养老服务等领域，符合新文科建设理念和要求的项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参赛项目团队应认真了解和把握“四新”发展要求，结合以上分类及项目实际，合理选择参赛项目类别。参赛项目不只限于“互联网+”项目，鼓励各类创新创业项目参赛，根据“四新”建设内涵和产业发展方向选择相应类型。</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二、参赛方式和要求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（一）本赛道以团队为单位报名参赛。允许跨校组建参赛团队，每个团队的成员不少于3人，不多于15人（含团队负责人），</w:t>
      </w:r>
      <w:r>
        <w:rPr>
          <w:rFonts w:hint="eastAsia" w:ascii="仿宋_GB2312" w:hAnsi="Calibri" w:eastAsia="仿宋_GB2312"/>
          <w:sz w:val="32"/>
          <w:szCs w:val="36"/>
        </w:rPr>
        <w:t>须为项目的实际核心成员</w:t>
      </w:r>
      <w:r>
        <w:rPr>
          <w:rFonts w:hint="eastAsia" w:ascii="仿宋_GB2312" w:eastAsia="仿宋_GB2312"/>
          <w:sz w:val="32"/>
          <w:szCs w:val="32"/>
        </w:rPr>
        <w:t>。参赛团队所报参赛创业项目，须为本团队策划或经营的项目，不得借用他人项目参赛。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按照参赛学校所在的国家和地区，分为中国大陆参赛项目、中国港澳台地区参赛项目、国际参赛项目三个类别。国际参赛项目和中国港澳台地区参赛项目可根据当地教育情况适当调整学籍和学历的相关参赛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（三）所有参赛材料和现场答辩原则上使用中文或英文，如有其他语言需求，请联系大赛组委会。</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三、参赛组别和对象</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根据参赛申报人所处学习阶段，项目分为本科生组、研究生组。根据所处创业阶段，本科生组和研究生组均内设创意组、初创组、成长组，并按照新工科、新医科、新农科、新文科设置参赛项目类型。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具体参赛条件如下：</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（一）本科生组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1.创意组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（1）参赛项目具有较好的创意和较为成型的产品原型或服务模式，在大赛通知下发之日前尚未完成工商等各类登记注册。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（2）参赛申报人须为项目负责人，项目负责人及成员均须为普通高等学校全日制在校本专科生（不含在职教育）。</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（3）学校科技成果转化项目不能参加本组比赛（科技成果的完成人、所有人中参赛申报人排名第一的除外）。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2.初创组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（1）参赛项目工商等各类登记注册未满3年（2019年3月1日及以后注册）。</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2）参赛申报人须为项目负责人且为参赛企业法定代表人，须为普通高等学校全日制在校本专科生（不含在职教育），或毕业5年以内的全日制本专科学生（即2017年之后的毕业生，不含在职教育）。企业法定代表人在大赛通知发布之日后进行变更的不予认可。</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（3）项目的股权结构中，企业法定代表人的股权不得少于1/3，参赛团队成员股权合计不得少于51%。</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3.成长组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（1）参赛项目工商等各类登记注册3年以上（2019年3月1日前注册）。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人须为项目负责人且为参赛企业法定代表人，须为普通高等学校全日制在校本专科生（不含在职教育），或毕业5年以内的全日制本专科学生（即2017年之后的毕业生，不含在职教育）。企业法定代表人在大赛通知发布之日后进行变更的不予认可。</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（3）项目的股权结构中，企业法定代表人的股权不得少于10%，参赛团队成员股权合计不得少于1/3。</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（二）研究生组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1.创意组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（1）参赛项目具有较好的创意和较为成型的产品原型或服务模式，在大赛通知下发之日前尚未完成工商等各类登记注册。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（2）参赛申报人须为项目负责人，须为普通高等学校全日制在校研究生。项目成员须为普通高等学校全日制在校研究生或本专科生（不含在职教育）。</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（3）学校科技成果转化项目不能参加本组比赛（科技成果的完成人、所有人中参赛申报人排名第一的除外）。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2.初创组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（1）参赛项目工商等各类登记注册未满3年（2019年3月1日及以后注册）。</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（2）参赛申报人须为项目负责人且为参赛企业法定代表人，须为普通高等学校全日制在校研究生，或毕业5年以内的全日制研究生学历学生（即</w:t>
      </w:r>
      <w:r>
        <w:rPr>
          <w:rFonts w:ascii="仿宋_GB2312" w:eastAsia="仿宋_GB2312"/>
          <w:sz w:val="32"/>
          <w:szCs w:val="32"/>
        </w:rPr>
        <w:t>2017</w:t>
      </w:r>
      <w:r>
        <w:rPr>
          <w:rFonts w:hint="eastAsia" w:ascii="仿宋_GB2312" w:eastAsia="仿宋_GB2312"/>
          <w:sz w:val="32"/>
          <w:szCs w:val="32"/>
        </w:rPr>
        <w:t>年之后的研究生学历毕业生）。企业法定代表人在大赛通知发布之日后进行变更的不予认可。</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（3）项目的股权结构中，企业法定代表人的股权不得少于1/3，参赛团队成员股权合计不得少于51%。</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3.成长组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（1）参赛项目工商等各类登记注册3年以上（2019年3月1日前注册）。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人须为项目负责人且为参赛企业法定代表人，须为普通高等学校全日制在校研究生，或毕业5年以内的全日制研究生学历学生（即2017年之后的研究生学历毕业生）。企业法定代表人在大赛通知发布之日后进行变更的不予认可。</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（3）项目的股权结构中，企业法定代表人的股权不得少于10%，参赛团队成员股权合计不得少于1/3。</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四、奖项设置</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（一）本赛道设置金奖、银奖、铜奖，中国大陆参赛项目设金奖150个、银奖350个、铜奖1000个，中国港澳台地区参赛项目设金奖5个、银奖15个、铜奖另定，国际参赛项目设金奖50个、银奖100个、铜奖350个。</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（二）本赛道设置最佳创意奖、最佳带动就业奖、最具商业价值奖等若干单项奖。</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（三）</w:t>
      </w:r>
      <w:r>
        <w:rPr>
          <w:rFonts w:hint="eastAsia" w:ascii="仿宋_GB2312" w:hAnsi="Calibri" w:eastAsia="仿宋_GB2312"/>
          <w:sz w:val="32"/>
          <w:szCs w:val="36"/>
        </w:rPr>
        <w:t>获得金奖项目的指导教师为“优秀创新创业导师”（限前五名）</w:t>
      </w:r>
      <w:r>
        <w:rPr>
          <w:rFonts w:hint="eastAsia" w:ascii="仿宋_GB2312" w:hAnsi="仿宋" w:eastAsia="仿宋_GB2312"/>
          <w:sz w:val="32"/>
          <w:szCs w:val="32"/>
        </w:rPr>
        <w:t>。</w:t>
      </w:r>
    </w:p>
    <w:p>
      <w:pPr>
        <w:widowControl/>
        <w:spacing w:line="540" w:lineRule="exact"/>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3F8311D-9585-4293-8455-2478DE080E0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2228C814-005D-467E-8F8C-2E02DEEABE38}"/>
  </w:font>
  <w:font w:name="方正小标宋简体">
    <w:panose1 w:val="02000000000000000000"/>
    <w:charset w:val="86"/>
    <w:family w:val="script"/>
    <w:pitch w:val="default"/>
    <w:sig w:usb0="00000001" w:usb1="08000000" w:usb2="00000000" w:usb3="00000000" w:csb0="00040000" w:csb1="00000000"/>
    <w:embedRegular r:id="rId3" w:fontKey="{C7534860-D2A7-4B9F-A388-0A577B190EB7}"/>
  </w:font>
  <w:font w:name="仿宋_GB2312">
    <w:panose1 w:val="02010609030101010101"/>
    <w:charset w:val="86"/>
    <w:family w:val="modern"/>
    <w:pitch w:val="default"/>
    <w:sig w:usb0="00000001" w:usb1="080E0000" w:usb2="00000000" w:usb3="00000000" w:csb0="00040000" w:csb1="00000000"/>
    <w:embedRegular r:id="rId4" w:fontKey="{E19DE5DA-1A80-48DC-93DE-3FA7BC411B35}"/>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embedRegular r:id="rId5" w:fontKey="{AC2D72B9-D8BF-461C-8F52-10EAA01BCA7E}"/>
  </w:font>
  <w:font w:name="方正仿宋_GB2312">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embedRegular r:id="rId6" w:fontKey="{D387DCCA-9815-4F94-A1B8-F48FFE3F2F1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2115B7"/>
    <w:rsid w:val="06211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2022-04-12T08:11:00Z</dcterms:created>
  <dc:creator>还是叫爆米花吧～</dc:creator>
  <cp:lastModifiedBy>还是叫爆米花吧～</cp:lastModifiedBy>
  <dcterms:modified xsi:type="dcterms:W3CDTF">2022-04-12T08:12:48Z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E0B87F29E4B548DBA4669D7872B832ED</vt:lpwstr>
  </property>
</Properties>
</file>